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12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947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238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/>
        <w:ind w:firstLine="709"/>
        <w:jc w:val="center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 Нижн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евартовского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- Югры Янбаева Г.Х. (ХМАО - Югра, г. Покачи, </w:t>
      </w:r>
      <w:r>
        <w:rPr>
          <w:rFonts w:ascii="Times New Roman" w:eastAsia="Times New Roman" w:hAnsi="Times New Roman" w:cs="Times New Roman"/>
          <w:sz w:val="26"/>
          <w:szCs w:val="26"/>
        </w:rPr>
        <w:t>пер. Майский, дом № 2</w:t>
      </w:r>
      <w:r>
        <w:rPr>
          <w:rFonts w:ascii="Times New Roman" w:eastAsia="Times New Roman" w:hAnsi="Times New Roman" w:cs="Times New Roman"/>
          <w:sz w:val="26"/>
          <w:szCs w:val="26"/>
        </w:rPr>
        <w:t>),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Габак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директора </w:t>
      </w:r>
      <w:r>
        <w:rPr>
          <w:rFonts w:ascii="Times New Roman" w:eastAsia="Times New Roman" w:hAnsi="Times New Roman" w:cs="Times New Roman"/>
          <w:sz w:val="26"/>
          <w:szCs w:val="26"/>
        </w:rPr>
        <w:t>автономной некоммерческой организации «Региональная лига коррекционных специалистов»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Габак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Веры Витальевны </w:t>
      </w:r>
      <w:r>
        <w:rPr>
          <w:rStyle w:val="cat-PassportDatagrp-20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РФ, </w:t>
      </w:r>
      <w:r>
        <w:rPr>
          <w:rStyle w:val="cat-PassportDatagrp-21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проживающе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 – </w:t>
      </w:r>
      <w:r>
        <w:rPr>
          <w:rStyle w:val="cat-Addressgrp-4rplc-1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ответственности за совершение правонарушения, предусмотренного ст. 15.5 Кодекса РФ об административных правонарушениях,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 </w:t>
      </w:r>
    </w:p>
    <w:p>
      <w:pPr>
        <w:widowControl w:val="0"/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widowControl w:val="0"/>
        <w:spacing w:before="0" w:after="0"/>
        <w:ind w:firstLine="709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Габак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июля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 – Югра, г. Покачи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улица </w:t>
      </w:r>
      <w:r>
        <w:rPr>
          <w:rFonts w:ascii="Times New Roman" w:eastAsia="Times New Roman" w:hAnsi="Times New Roman" w:cs="Times New Roman"/>
          <w:sz w:val="26"/>
          <w:szCs w:val="26"/>
        </w:rPr>
        <w:t>Мира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правонарушение, предусмотренное ст. 15.5 Кодекса РФ об административных правонарушениях при следующих обстоятельствах.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Габак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должностным лицом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</w:t>
      </w:r>
      <w:r>
        <w:rPr>
          <w:rFonts w:ascii="Times New Roman" w:eastAsia="Times New Roman" w:hAnsi="Times New Roman" w:cs="Times New Roman"/>
          <w:sz w:val="26"/>
          <w:szCs w:val="26"/>
        </w:rPr>
        <w:t>автономной некоммерческой организации «Региональная лига коррекционных специалистов»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 сентября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налоговую декларацию по налогу на добавленную стоимость за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квартал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при том, что в соответствии с п. 5 ст. 174 Налогового кодекса Российской Федерации, последним сроком являлось 25 </w:t>
      </w:r>
      <w:r>
        <w:rPr>
          <w:rFonts w:ascii="Times New Roman" w:eastAsia="Times New Roman" w:hAnsi="Times New Roman" w:cs="Times New Roman"/>
          <w:sz w:val="26"/>
          <w:szCs w:val="26"/>
        </w:rPr>
        <w:t>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Габак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вину в совершении правонарушения признала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hyperlink r:id="rId4" w:anchor="/document/12125267/entry/15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6"/>
            <w:szCs w:val="26"/>
          </w:rPr>
          <w:t xml:space="preserve">.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15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6"/>
            <w:szCs w:val="26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нарушение установленных законодательством о налогах и сборах сроков представления налоговой декларации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расчета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страховым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взносам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в налоговый орган по месту учета влечет наказание в виде предупреждения или наложения административного штрафа.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Вина </w:t>
      </w:r>
      <w:r>
        <w:rPr>
          <w:rFonts w:ascii="Times New Roman" w:eastAsia="Times New Roman" w:hAnsi="Times New Roman" w:cs="Times New Roman"/>
          <w:sz w:val="26"/>
          <w:szCs w:val="26"/>
        </w:rPr>
        <w:t>Габак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hyperlink r:id="rId4" w:anchor="/document/12125267/entry/15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полностью подтверждается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ее признательными показаниями и </w:t>
      </w:r>
      <w:r>
        <w:rPr>
          <w:rFonts w:ascii="Times New Roman" w:eastAsia="Times New Roman" w:hAnsi="Times New Roman" w:cs="Times New Roman"/>
          <w:sz w:val="26"/>
          <w:szCs w:val="26"/>
        </w:rPr>
        <w:t>имеющимися в материалах дела письменными доказательствами, исследованными в судебном заседании, а именно: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протоколом об административном правонарушении № 8617</w:t>
      </w:r>
      <w:r>
        <w:rPr>
          <w:rFonts w:ascii="Times New Roman" w:eastAsia="Times New Roman" w:hAnsi="Times New Roman" w:cs="Times New Roman"/>
          <w:sz w:val="26"/>
          <w:szCs w:val="26"/>
        </w:rPr>
        <w:t>2404400109700002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с изложенным в нём существом правонарушения, составленным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Габак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квитанцией о приеме налоговой декларации 5 сентября 2023 года в 13 час. 45 мин.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выпиской из ЕГРЮЛ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смыслу положений федерального закона 6 декабря 2011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№ 402-ФЗ «О бухгалтерском учете» ответственность за организацию бухгалтерского учета несет руководитель организации.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Налоговая декларация (расчеты) представляется в сроки, установленные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законодательством о налогах и сборах для каждого налога.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5 ст. 174 Налогового кодекса РФ срок предоставления налоговой декларации по налогу на добавленную стоимость в электронной форме по телекоммуникационным каналам связи через оператора электронного документооборота в 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позднее 25-го числа месяца,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следующего за истекшим налоговым периодом.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Следовательно, налоговая декларация по налогу на добавленную стоимость за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квартал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должна была быть представлена не позднее – 25 </w:t>
      </w:r>
      <w:r>
        <w:rPr>
          <w:rFonts w:ascii="Times New Roman" w:eastAsia="Times New Roman" w:hAnsi="Times New Roman" w:cs="Times New Roman"/>
          <w:sz w:val="26"/>
          <w:szCs w:val="26"/>
        </w:rPr>
        <w:t>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исследованных судом документов следует, что налоговая декларация, не была предоставлена в установленный законодательством о налогах и сборах срок.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доказательства в их совокупности, мировой судья считает, что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Габак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как руководителя указанного юридического лица, имеется состав административного правонарушения, предусмотренного ст. 15.5 Кодекса РФ об административных правонарушениях: нарушение установленных законодательством о налогах и сборах сроков представления налоговой декларации в налоговый орган по месту учета. Вина </w:t>
      </w:r>
      <w:r>
        <w:rPr>
          <w:rFonts w:ascii="Times New Roman" w:eastAsia="Times New Roman" w:hAnsi="Times New Roman" w:cs="Times New Roman"/>
          <w:sz w:val="26"/>
          <w:szCs w:val="26"/>
        </w:rPr>
        <w:t>Габак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установлена в судебном заседании, е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бездействие правильно квалифицировано как правонарушение, предусмотренное ст. 15.5 КоАП РФ.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нарушителю, суд учитывает характер и тяжесть совершенного правонарушения, </w:t>
      </w:r>
      <w:r>
        <w:rPr>
          <w:rFonts w:ascii="Times New Roman" w:eastAsia="Times New Roman" w:hAnsi="Times New Roman" w:cs="Times New Roman"/>
          <w:sz w:val="26"/>
          <w:szCs w:val="26"/>
        </w:rPr>
        <w:t>признание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отягчающих административную ответственность обстоятельств.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связи с чем, мировой судья приходит к выводу, о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>Габак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наказания, предусмотренного санкцией ст. 15.5 КоАП РФ – в виде предупреждения, то есть официального порицания.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ст. 29.9-29.11 Кодекса РФ об административных правонарушениях, мировой судья, 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Габак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Вер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Витальевн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>
        <w:rPr>
          <w:rFonts w:ascii="Times New Roman" w:eastAsia="Times New Roman" w:hAnsi="Times New Roman" w:cs="Times New Roman"/>
          <w:sz w:val="26"/>
          <w:szCs w:val="26"/>
        </w:rPr>
        <w:t>15.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РФ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подвергнуть административному наказанию в виде предупреждения.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 </w:t>
      </w:r>
      <w:r>
        <w:rPr>
          <w:rFonts w:ascii="Times New Roman" w:eastAsia="Times New Roman" w:hAnsi="Times New Roman" w:cs="Times New Roman"/>
          <w:sz w:val="26"/>
          <w:szCs w:val="26"/>
        </w:rPr>
        <w:t>Габак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 том, что предупреждение — это мера административного наказания, выраженная в официальном порицании.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Нижневартовский районный суд ХМАО-Югры в течение 10 суток.</w:t>
      </w: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 Нижневартовского судебного района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5-</w:t>
      </w:r>
      <w:r>
        <w:rPr>
          <w:rFonts w:ascii="Times New Roman" w:eastAsia="Times New Roman" w:hAnsi="Times New Roman" w:cs="Times New Roman"/>
          <w:sz w:val="16"/>
          <w:szCs w:val="16"/>
        </w:rPr>
        <w:t>238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widowControl w:val="0"/>
        <w:spacing w:before="0" w:after="0"/>
        <w:ind w:firstLine="709"/>
        <w:jc w:val="both"/>
        <w:rPr>
          <w:sz w:val="16"/>
          <w:szCs w:val="16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0"/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0rplc-11">
    <w:name w:val="cat-PassportData grp-20 rplc-11"/>
    <w:basedOn w:val="DefaultParagraphFont"/>
  </w:style>
  <w:style w:type="character" w:customStyle="1" w:styleId="cat-PassportDatagrp-21rplc-12">
    <w:name w:val="cat-PassportData grp-21 rplc-12"/>
    <w:basedOn w:val="DefaultParagraphFont"/>
  </w:style>
  <w:style w:type="character" w:customStyle="1" w:styleId="cat-Addressgrp-4rplc-13">
    <w:name w:val="cat-Address grp-4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